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FICHA TÉCNICA</w:t>
      </w:r>
    </w:p>
    <w:tbl>
      <w:tblPr>
        <w:tblStyle w:val="Table1"/>
        <w:tblW w:w="13560.0" w:type="dxa"/>
        <w:jc w:val="left"/>
        <w:tblInd w:w="-645.0" w:type="dxa"/>
        <w:tblLayout w:type="fixed"/>
        <w:tblLook w:val="0400"/>
      </w:tblPr>
      <w:tblGrid>
        <w:gridCol w:w="6150"/>
        <w:gridCol w:w="3855"/>
        <w:gridCol w:w="3555"/>
        <w:tblGridChange w:id="0">
          <w:tblGrid>
            <w:gridCol w:w="6150"/>
            <w:gridCol w:w="3855"/>
            <w:gridCol w:w="3555"/>
          </w:tblGrid>
        </w:tblGridChange>
      </w:tblGrid>
      <w:tr>
        <w:trPr>
          <w:cantSplit w:val="0"/>
          <w:trHeight w:val="1177.2265625"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3527027" cy="2145521"/>
                  <wp:effectExtent b="0" l="0" r="0" t="0"/>
                  <wp:docPr id="315"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3527027" cy="2145521"/>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w:t>
            </w:r>
          </w:p>
          <w:p w:rsidR="00000000" w:rsidDel="00000000" w:rsidP="00000000" w:rsidRDefault="00000000" w:rsidRPr="00000000" w14:paraId="00000007">
            <w:pPr>
              <w:spacing w:after="20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Jornadas de prevención en los temas de uso del casco, seguridad vial, consumo y abuso de sustancias psicoactivas y protección de datos personales en instituciones educativas.</w:t>
            </w:r>
          </w:p>
        </w:tc>
      </w:tr>
      <w:tr>
        <w:trPr>
          <w:cantSplit w:val="0"/>
          <w:trHeight w:val="703.61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B">
            <w:pPr>
              <w:spacing w:after="20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Ayuntamiento de Luvianos</w:t>
            </w:r>
          </w:p>
        </w:tc>
      </w:tr>
      <w:tr>
        <w:trPr>
          <w:cantSplit w:val="0"/>
          <w:trHeight w:val="276"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F">
            <w:pPr>
              <w:spacing w:after="200" w:line="240" w:lineRule="auto"/>
              <w:ind w:left="72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Unidad de Transparencia, Dirección de Seguridad Pública y Tránsito Municipal, Defensoría Municipal de Derechos Humanos, Dirección de las Mujeres y Dirección de Educación y Cultura</w:t>
            </w:r>
          </w:p>
        </w:tc>
      </w:tr>
      <w:tr>
        <w:trPr>
          <w:cantSplit w:val="0"/>
          <w:trHeight w:val="693.6132812500006"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3">
            <w:pPr>
              <w:spacing w:after="200" w:line="240" w:lineRule="auto"/>
              <w:ind w:left="-141.7322834645671" w:firstLine="0"/>
              <w:jc w:val="center"/>
              <w:rPr>
                <w:rFonts w:ascii="Palatino Linotype" w:cs="Palatino Linotype" w:eastAsia="Palatino Linotype" w:hAnsi="Palatino Linotype"/>
                <w:b w:val="1"/>
                <w:highlight w:val="white"/>
              </w:rPr>
            </w:pPr>
            <w:hyperlink r:id="rId8">
              <w:r w:rsidDel="00000000" w:rsidR="00000000" w:rsidRPr="00000000">
                <w:rPr>
                  <w:rFonts w:ascii="Palatino Linotype" w:cs="Palatino Linotype" w:eastAsia="Palatino Linotype" w:hAnsi="Palatino Linotype"/>
                  <w:b w:val="1"/>
                  <w:color w:val="0563c1"/>
                  <w:u w:val="single"/>
                  <w:rtl w:val="0"/>
                </w:rPr>
                <w:t xml:space="preserve">https://luvianos.gob.mx/transparencia-proactiva</w:t>
              </w:r>
            </w:hyperlink>
            <w:r w:rsidDel="00000000" w:rsidR="00000000" w:rsidRPr="00000000">
              <w:rPr>
                <w:rFonts w:ascii="Palatino Linotype" w:cs="Palatino Linotype" w:eastAsia="Palatino Linotype" w:hAnsi="Palatino Linotype"/>
                <w:b w:val="1"/>
                <w:rtl w:val="0"/>
              </w:rPr>
              <w:t xml:space="preserve"> </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Municipal</w:t>
            </w:r>
            <w:r w:rsidDel="00000000" w:rsidR="00000000" w:rsidRPr="00000000">
              <w:rPr>
                <w:rtl w:val="0"/>
              </w:rPr>
            </w:r>
          </w:p>
        </w:tc>
      </w:tr>
      <w:tr>
        <w:trPr>
          <w:cantSplit w:val="0"/>
          <w:trHeight w:val="331.80664062499994"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100</w:t>
            </w:r>
          </w:p>
        </w:tc>
      </w:tr>
    </w:tbl>
    <w:p w:rsidR="00000000" w:rsidDel="00000000" w:rsidP="00000000" w:rsidRDefault="00000000" w:rsidRPr="00000000" w14:paraId="0000001B">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530.0" w:type="dxa"/>
        <w:jc w:val="left"/>
        <w:tblInd w:w="-572.0" w:type="dxa"/>
        <w:tblLayout w:type="fixed"/>
        <w:tblLook w:val="0400"/>
      </w:tblPr>
      <w:tblGrid>
        <w:gridCol w:w="6435"/>
        <w:gridCol w:w="7095"/>
        <w:tblGridChange w:id="0">
          <w:tblGrid>
            <w:gridCol w:w="6435"/>
            <w:gridCol w:w="7095"/>
          </w:tblGrid>
        </w:tblGridChange>
      </w:tblGrid>
      <w:tr>
        <w:trPr>
          <w:cantSplit w:val="0"/>
          <w:trHeight w:val="1188"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Pláticas que se realizaron en escuelas del Municipio acerca de la importancia de la prevención y la educación para evitar riesgos y promover el bienestar juvenil, sobre la</w:t>
            </w:r>
            <w:r w:rsidDel="00000000" w:rsidR="00000000" w:rsidRPr="00000000">
              <w:rPr>
                <w:rFonts w:ascii="Palatino Linotype" w:cs="Palatino Linotype" w:eastAsia="Palatino Linotype" w:hAnsi="Palatino Linotype"/>
                <w:rtl w:val="0"/>
              </w:rPr>
              <w:t xml:space="preserve"> protección de datos personales, violencia digital, prevención de la violencia sexual, la violencia y sus tipos, seguridad pública, así como sobre recursos y servicios disponibles para aquellos que necesiten ayuda en estos temas. Esta práctica además se difunde mediante redes sociales donde de igual manera se comparte la información para alcanzar a más ciudadanía,  contiene información en formato de datos abiertos TXT,  promueve la participación ciudadana mediante una encuesta de satisfacción de la información, obteniendo entre otros beneficios la reducción de riesgos de violencia en todas sus modalidades entre los jóvenes a quien se dirige.</w:t>
            </w:r>
          </w:p>
        </w:tc>
      </w:tr>
      <w:tr>
        <w:trPr>
          <w:cantSplit w:val="0"/>
          <w:trHeight w:val="1923.32580566406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r w:rsidDel="00000000" w:rsidR="00000000" w:rsidRPr="00000000">
              <w:rPr>
                <w:rtl w:val="0"/>
              </w:rPr>
            </w:r>
          </w:p>
          <w:p w:rsidR="00000000" w:rsidDel="00000000" w:rsidP="00000000" w:rsidRDefault="00000000" w:rsidRPr="00000000" w14:paraId="00000020">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w:t>
            </w:r>
            <w:r w:rsidDel="00000000" w:rsidR="00000000" w:rsidRPr="00000000">
              <w:rPr>
                <w:rFonts w:ascii="Palatino Linotype" w:cs="Palatino Linotype" w:eastAsia="Palatino Linotype" w:hAnsi="Palatino Linotype"/>
                <w:rtl w:val="0"/>
              </w:rPr>
              <w:t xml:space="preserve">romover la prevención y la educación en temas clave, tales como el uso del casco, seguridad vial, consumo de sustancias psicoactivas y protección de datos personales en instituciones educativas.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r w:rsidDel="00000000" w:rsidR="00000000" w:rsidRPr="00000000">
              <w:rPr>
                <w:rtl w:val="0"/>
              </w:rPr>
            </w:r>
          </w:p>
          <w:p w:rsidR="00000000" w:rsidDel="00000000" w:rsidP="00000000" w:rsidRDefault="00000000" w:rsidRPr="00000000" w14:paraId="00000022">
            <w:pPr>
              <w:spacing w:after="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reconoció la importancia de abordar estos temas de manera proactiva para evitar situaciones de riesgo y promover el bienestar de los jóvenes. La práctica se originó como respuesta a esta necesidad, buscando proporcionar información, recursos y orientación para abordar estos temas de manera integral en las instituciones educativas.</w:t>
            </w:r>
          </w:p>
        </w:tc>
      </w:tr>
      <w:tr>
        <w:trPr>
          <w:cantSplit w:val="0"/>
          <w:trHeight w:val="93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r w:rsidDel="00000000" w:rsidR="00000000" w:rsidRPr="00000000">
              <w:rPr>
                <w:rtl w:val="0"/>
              </w:rPr>
            </w:r>
          </w:p>
          <w:p w:rsidR="00000000" w:rsidDel="00000000" w:rsidP="00000000" w:rsidRDefault="00000000" w:rsidRPr="00000000" w14:paraId="00000024">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Promoción de la seguridad y el bienestar de los jóvenes al proporcionar información y educación.</w:t>
            </w:r>
          </w:p>
          <w:p w:rsidR="00000000" w:rsidDel="00000000" w:rsidP="00000000" w:rsidRDefault="00000000" w:rsidRPr="00000000" w14:paraId="00000025">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Reducción de riesgos al fomentar la prevención y la toma de decisiones informadas entre los estudiantes.</w:t>
            </w:r>
          </w:p>
          <w:p w:rsidR="00000000" w:rsidDel="00000000" w:rsidP="00000000" w:rsidRDefault="00000000" w:rsidRPr="00000000" w14:paraId="00000026">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Fortalecimiento de la confianza y la colaboración entre el gobierno local y la comunidad educativa.</w:t>
            </w:r>
          </w:p>
          <w:p w:rsidR="00000000" w:rsidDel="00000000" w:rsidP="00000000" w:rsidRDefault="00000000" w:rsidRPr="00000000" w14:paraId="00000027">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Sensibilización sobre los recursos y servicios disponibles para aquellos que necesitan ayuda en estos temas.</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a través de su encuesta que aplican al término de cada jornada y en el micrositio.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tl w:val="0"/>
              </w:rPr>
              <w:t xml:space="preserve">¿La práctica cuenta con algún registro del número de consultas realizadas a la información difundida?</w:t>
            </w:r>
            <w:r w:rsidDel="00000000" w:rsidR="00000000" w:rsidRPr="00000000">
              <w:rPr>
                <w:rtl w:val="0"/>
              </w:rPr>
            </w:r>
          </w:p>
          <w:p w:rsidR="00000000" w:rsidDel="00000000" w:rsidP="00000000" w:rsidRDefault="00000000" w:rsidRPr="00000000" w14:paraId="0000002C">
            <w:pPr>
              <w:numPr>
                <w:ilvl w:val="0"/>
                <w:numId w:val="1"/>
              </w:numPr>
              <w:spacing w:after="0" w:lineRule="auto"/>
              <w:ind w:left="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cuenta con contador de visitas y listas de asistencia de las pláticas realizadas.</w:t>
            </w:r>
          </w:p>
        </w:tc>
      </w:tr>
      <w:tr>
        <w:trPr>
          <w:cantSplit w:val="0"/>
          <w:trHeight w:val="117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tl w:val="0"/>
              </w:rPr>
              <w:t xml:space="preserve">Observaciones</w:t>
            </w: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w:t>
            </w:r>
          </w:p>
          <w:p w:rsidR="00000000" w:rsidDel="00000000" w:rsidP="00000000" w:rsidRDefault="00000000" w:rsidRPr="00000000" w14:paraId="0000002E">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highlight w:val="white"/>
                <w:rtl w:val="0"/>
              </w:rPr>
              <w:t xml:space="preserve">contabilización de consultas, la participación ciudadana, los efectos positivos y los medios alternos de difusión de la información.</w:t>
            </w:r>
            <w:r w:rsidDel="00000000" w:rsidR="00000000" w:rsidRPr="00000000">
              <w:rPr>
                <w:rtl w:val="0"/>
              </w:rPr>
            </w:r>
          </w:p>
        </w:tc>
      </w:tr>
    </w:tbl>
    <w:p w:rsidR="00000000" w:rsidDel="00000000" w:rsidP="00000000" w:rsidRDefault="00000000" w:rsidRPr="00000000" w14:paraId="00000030">
      <w:pPr>
        <w:spacing w:after="0" w:line="240" w:lineRule="auto"/>
        <w:ind w:left="-708" w:firstLine="0"/>
        <w:jc w:val="center"/>
        <w:rPr>
          <w:rFonts w:ascii="Palatino Linotype" w:cs="Palatino Linotype" w:eastAsia="Palatino Linotype" w:hAnsi="Palatino Linotype"/>
          <w:b w:val="1"/>
        </w:rPr>
      </w:pPr>
      <w:bookmarkStart w:colFirst="0" w:colLast="0" w:name="_heading=h.1deoimcvfkpf" w:id="1"/>
      <w:bookmarkEnd w:id="1"/>
      <w:r w:rsidDel="00000000" w:rsidR="00000000" w:rsidRPr="00000000">
        <w:rPr>
          <w:rtl w:val="0"/>
        </w:rPr>
      </w:r>
    </w:p>
    <w:p w:rsidR="00000000" w:rsidDel="00000000" w:rsidP="00000000" w:rsidRDefault="00000000" w:rsidRPr="00000000" w14:paraId="00000031">
      <w:pPr>
        <w:spacing w:after="0" w:line="240" w:lineRule="auto"/>
        <w:ind w:left="-708" w:firstLine="0"/>
        <w:jc w:val="center"/>
        <w:rPr>
          <w:rFonts w:ascii="Palatino Linotype" w:cs="Palatino Linotype" w:eastAsia="Palatino Linotype" w:hAnsi="Palatino Linotype"/>
          <w:b w:val="1"/>
        </w:rPr>
      </w:pPr>
      <w:bookmarkStart w:colFirst="0" w:colLast="0" w:name="_heading=h.ai6qx2gonyf9" w:id="2"/>
      <w:bookmarkEnd w:id="2"/>
      <w:r w:rsidDel="00000000" w:rsidR="00000000" w:rsidRPr="00000000">
        <w:rPr>
          <w:rtl w:val="0"/>
        </w:rPr>
      </w:r>
    </w:p>
    <w:p w:rsidR="00000000" w:rsidDel="00000000" w:rsidP="00000000" w:rsidRDefault="00000000" w:rsidRPr="00000000" w14:paraId="00000032">
      <w:pPr>
        <w:spacing w:after="0" w:line="240" w:lineRule="auto"/>
        <w:ind w:left="-708" w:firstLine="0"/>
        <w:jc w:val="center"/>
        <w:rPr>
          <w:rFonts w:ascii="Palatino Linotype" w:cs="Palatino Linotype" w:eastAsia="Palatino Linotype" w:hAnsi="Palatino Linotype"/>
          <w:b w:val="1"/>
        </w:rPr>
      </w:pPr>
      <w:bookmarkStart w:colFirst="0" w:colLast="0" w:name="_heading=h.6g1kokbund7c" w:id="3"/>
      <w:bookmarkEnd w:id="3"/>
      <w:r w:rsidDel="00000000" w:rsidR="00000000" w:rsidRPr="00000000">
        <w:rPr>
          <w:rtl w:val="0"/>
        </w:rPr>
      </w:r>
    </w:p>
    <w:p w:rsidR="00000000" w:rsidDel="00000000" w:rsidP="00000000" w:rsidRDefault="00000000" w:rsidRPr="00000000" w14:paraId="00000033">
      <w:pPr>
        <w:spacing w:after="0" w:line="240" w:lineRule="auto"/>
        <w:ind w:left="-708" w:firstLine="0"/>
        <w:jc w:val="center"/>
        <w:rPr>
          <w:rFonts w:ascii="Palatino Linotype" w:cs="Palatino Linotype" w:eastAsia="Palatino Linotype" w:hAnsi="Palatino Linotype"/>
          <w:b w:val="1"/>
        </w:rPr>
      </w:pPr>
      <w:bookmarkStart w:colFirst="0" w:colLast="0" w:name="_heading=h.6lu665pk5ee1" w:id="4"/>
      <w:bookmarkEnd w:id="4"/>
      <w:r w:rsidDel="00000000" w:rsidR="00000000" w:rsidRPr="00000000">
        <w:rPr>
          <w:rtl w:val="0"/>
        </w:rPr>
      </w:r>
    </w:p>
    <w:p w:rsidR="00000000" w:rsidDel="00000000" w:rsidP="00000000" w:rsidRDefault="00000000" w:rsidRPr="00000000" w14:paraId="00000034">
      <w:pPr>
        <w:spacing w:after="0" w:line="240" w:lineRule="auto"/>
        <w:ind w:left="-708" w:firstLine="0"/>
        <w:jc w:val="center"/>
        <w:rPr>
          <w:rFonts w:ascii="Palatino Linotype" w:cs="Palatino Linotype" w:eastAsia="Palatino Linotype" w:hAnsi="Palatino Linotype"/>
          <w:b w:val="1"/>
        </w:rPr>
      </w:pPr>
      <w:bookmarkStart w:colFirst="0" w:colLast="0" w:name="_heading=h.yteu10fupvbw" w:id="5"/>
      <w:bookmarkEnd w:id="5"/>
      <w:r w:rsidDel="00000000" w:rsidR="00000000" w:rsidRPr="00000000">
        <w:rPr>
          <w:rtl w:val="0"/>
        </w:rPr>
      </w:r>
    </w:p>
    <w:p w:rsidR="00000000" w:rsidDel="00000000" w:rsidP="00000000" w:rsidRDefault="00000000" w:rsidRPr="00000000" w14:paraId="00000035">
      <w:pPr>
        <w:spacing w:after="0" w:line="240" w:lineRule="auto"/>
        <w:ind w:left="-708" w:firstLine="0"/>
        <w:jc w:val="center"/>
        <w:rPr>
          <w:rFonts w:ascii="Palatino Linotype" w:cs="Palatino Linotype" w:eastAsia="Palatino Linotype" w:hAnsi="Palatino Linotype"/>
          <w:b w:val="1"/>
        </w:rPr>
      </w:pPr>
      <w:bookmarkStart w:colFirst="0" w:colLast="0" w:name="_heading=h.p9b6qfohooyn" w:id="6"/>
      <w:bookmarkEnd w:id="6"/>
      <w:r w:rsidDel="00000000" w:rsidR="00000000" w:rsidRPr="00000000">
        <w:rPr>
          <w:rtl w:val="0"/>
        </w:rPr>
      </w:r>
    </w:p>
    <w:p w:rsidR="00000000" w:rsidDel="00000000" w:rsidP="00000000" w:rsidRDefault="00000000" w:rsidRPr="00000000" w14:paraId="00000036">
      <w:pPr>
        <w:spacing w:after="0" w:line="240" w:lineRule="auto"/>
        <w:ind w:left="-708" w:firstLine="0"/>
        <w:jc w:val="center"/>
        <w:rPr>
          <w:rFonts w:ascii="Palatino Linotype" w:cs="Palatino Linotype" w:eastAsia="Palatino Linotype" w:hAnsi="Palatino Linotype"/>
          <w:b w:val="1"/>
        </w:rPr>
      </w:pPr>
      <w:bookmarkStart w:colFirst="0" w:colLast="0" w:name="_heading=h.js6v6pge8lw4" w:id="7"/>
      <w:bookmarkEnd w:id="7"/>
      <w:r w:rsidDel="00000000" w:rsidR="00000000" w:rsidRPr="00000000">
        <w:rPr>
          <w:rtl w:val="0"/>
        </w:rPr>
      </w:r>
    </w:p>
    <w:p w:rsidR="00000000" w:rsidDel="00000000" w:rsidP="00000000" w:rsidRDefault="00000000" w:rsidRPr="00000000" w14:paraId="00000037">
      <w:pPr>
        <w:spacing w:after="0" w:line="240" w:lineRule="auto"/>
        <w:ind w:left="-708" w:firstLine="0"/>
        <w:jc w:val="center"/>
        <w:rPr>
          <w:rFonts w:ascii="Palatino Linotype" w:cs="Palatino Linotype" w:eastAsia="Palatino Linotype" w:hAnsi="Palatino Linotype"/>
          <w:b w:val="1"/>
        </w:rPr>
      </w:pPr>
      <w:bookmarkStart w:colFirst="0" w:colLast="0" w:name="_heading=h.wacr95cib7xj" w:id="8"/>
      <w:bookmarkEnd w:id="8"/>
      <w:r w:rsidDel="00000000" w:rsidR="00000000" w:rsidRPr="00000000">
        <w:rPr>
          <w:rtl w:val="0"/>
        </w:rPr>
      </w:r>
    </w:p>
    <w:p w:rsidR="00000000" w:rsidDel="00000000" w:rsidP="00000000" w:rsidRDefault="00000000" w:rsidRPr="00000000" w14:paraId="00000038">
      <w:pPr>
        <w:spacing w:after="0" w:line="240" w:lineRule="auto"/>
        <w:ind w:left="-708" w:firstLine="0"/>
        <w:jc w:val="center"/>
        <w:rPr>
          <w:rFonts w:ascii="Palatino Linotype" w:cs="Palatino Linotype" w:eastAsia="Palatino Linotype" w:hAnsi="Palatino Linotype"/>
          <w:b w:val="1"/>
        </w:rPr>
      </w:pPr>
      <w:bookmarkStart w:colFirst="0" w:colLast="0" w:name="_heading=h.ys4otdbj1opj" w:id="9"/>
      <w:bookmarkEnd w:id="9"/>
      <w:r w:rsidDel="00000000" w:rsidR="00000000" w:rsidRPr="00000000">
        <w:rPr>
          <w:rtl w:val="0"/>
        </w:rPr>
      </w:r>
    </w:p>
    <w:p w:rsidR="00000000" w:rsidDel="00000000" w:rsidP="00000000" w:rsidRDefault="00000000" w:rsidRPr="00000000" w14:paraId="00000039">
      <w:pPr>
        <w:spacing w:after="0" w:line="240" w:lineRule="auto"/>
        <w:ind w:left="-708" w:firstLine="0"/>
        <w:jc w:val="center"/>
        <w:rPr>
          <w:rFonts w:ascii="Palatino Linotype" w:cs="Palatino Linotype" w:eastAsia="Palatino Linotype" w:hAnsi="Palatino Linotype"/>
          <w:b w:val="1"/>
        </w:rPr>
      </w:pPr>
      <w:bookmarkStart w:colFirst="0" w:colLast="0" w:name="_heading=h.esf1kkrcosx5" w:id="10"/>
      <w:bookmarkEnd w:id="10"/>
      <w:r w:rsidDel="00000000" w:rsidR="00000000" w:rsidRPr="00000000">
        <w:rPr>
          <w:rtl w:val="0"/>
        </w:rPr>
      </w:r>
    </w:p>
    <w:p w:rsidR="00000000" w:rsidDel="00000000" w:rsidP="00000000" w:rsidRDefault="00000000" w:rsidRPr="00000000" w14:paraId="0000003A">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11"/>
      <w:bookmarkEnd w:id="11"/>
      <w:r w:rsidDel="00000000" w:rsidR="00000000" w:rsidRPr="00000000">
        <w:rPr>
          <w:rFonts w:ascii="Palatino Linotype" w:cs="Palatino Linotype" w:eastAsia="Palatino Linotype" w:hAnsi="Palatino Linotype"/>
          <w:b w:val="1"/>
          <w:rtl w:val="0"/>
        </w:rPr>
        <w:t xml:space="preserve">EVALUACIÓN</w:t>
      </w:r>
    </w:p>
    <w:sdt>
      <w:sdtPr>
        <w:lock w:val="contentLocked"/>
        <w:tag w:val="goog_rdk_0"/>
      </w:sdtPr>
      <w:sdtContent>
        <w:tbl>
          <w:tblPr>
            <w:tblStyle w:val="Table3"/>
            <w:tblW w:w="14040.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95"/>
            <w:gridCol w:w="1500"/>
            <w:gridCol w:w="2790"/>
            <w:gridCol w:w="5655"/>
            <w:tblGridChange w:id="0">
              <w:tblGrid>
                <w:gridCol w:w="4095"/>
                <w:gridCol w:w="1500"/>
                <w:gridCol w:w="2790"/>
                <w:gridCol w:w="5655"/>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shd w:fill="d9d9d9"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1. Calidad de la información (0 a 4)</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4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45">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4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físicas</w:t>
                </w:r>
              </w:p>
              <w:p w:rsidR="00000000" w:rsidDel="00000000" w:rsidP="00000000" w:rsidRDefault="00000000" w:rsidRPr="00000000" w14:paraId="00000047">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se presentó en pláticas a escuelas y también está disponible en su página oficial.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015960" cy="1117389"/>
                      <wp:effectExtent b="0" l="0" r="0" t="0"/>
                      <wp:docPr id="305"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3015960" cy="1117389"/>
                              </a:xfrm>
                              <a:prstGeom prst="rect"/>
                              <a:ln/>
                            </pic:spPr>
                          </pic:pic>
                        </a:graphicData>
                      </a:graphic>
                    </wp:inline>
                  </w:drawing>
                </w:r>
                <w:r w:rsidDel="00000000" w:rsidR="00000000" w:rsidRPr="00000000">
                  <w:rPr>
                    <w:rtl w:val="0"/>
                  </w:rPr>
                </w:r>
              </w:p>
            </w:tc>
          </w:tr>
          <w:tr>
            <w:trPr>
              <w:cantSplit w:val="0"/>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4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4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4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Menciona que la información es vigente y se ha difundido de manera reciente.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847975" cy="596900"/>
                      <wp:effectExtent b="0" l="0" r="0" t="0"/>
                      <wp:docPr id="30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847975"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2400"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5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presentada en un lenguaje sencillo y fácil de entender.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305878" cy="1005047"/>
                      <wp:effectExtent b="0" l="0" r="0" t="0"/>
                      <wp:docPr id="31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305878" cy="1005047"/>
                              </a:xfrm>
                              <a:prstGeom prst="rect"/>
                              <a:ln/>
                            </pic:spPr>
                          </pic:pic>
                        </a:graphicData>
                      </a:graphic>
                    </wp:inline>
                  </w:drawing>
                </w:r>
                <w:r w:rsidDel="00000000" w:rsidR="00000000" w:rsidRPr="00000000">
                  <w:rPr>
                    <w:rFonts w:ascii="Palatino Linotype" w:cs="Palatino Linotype" w:eastAsia="Palatino Linotype" w:hAnsi="Palatino Linotype"/>
                  </w:rPr>
                  <w:drawing>
                    <wp:inline distB="114300" distT="114300" distL="114300" distR="114300">
                      <wp:extent cx="1401127" cy="790820"/>
                      <wp:effectExtent b="0" l="0" r="0" t="0"/>
                      <wp:docPr id="299"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1401127" cy="790820"/>
                              </a:xfrm>
                              <a:prstGeom prst="rect"/>
                              <a:ln/>
                            </pic:spPr>
                          </pic:pic>
                        </a:graphicData>
                      </a:graphic>
                    </wp:inline>
                  </w:drawing>
                </w:r>
                <w:r w:rsidDel="00000000" w:rsidR="00000000" w:rsidRPr="00000000">
                  <w:rPr>
                    <w:rtl w:val="0"/>
                  </w:rPr>
                </w:r>
              </w:p>
            </w:tc>
          </w:tr>
          <w:tr>
            <w:trPr>
              <w:cantSplit w:val="0"/>
              <w:trHeight w:val="1307.2265625"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5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5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presenta en el momento en que los alumnos necesitan conocer la información debido a las necesidades propias de la edad.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963102" cy="1487732"/>
                      <wp:effectExtent b="0" l="0" r="0" t="0"/>
                      <wp:docPr id="31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963102" cy="1487732"/>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5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6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p>
              <w:p w:rsidR="00000000" w:rsidDel="00000000" w:rsidP="00000000" w:rsidRDefault="00000000" w:rsidRPr="00000000" w14:paraId="00000061">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encuentra basado en fuentes oficiales de otros Sujetos Obligados.</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457575" cy="2590800"/>
                      <wp:effectExtent b="0" l="0" r="0" t="0"/>
                      <wp:docPr id="312"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3457575"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6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6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Está relacionado a información que comparten otros Sujetos Obligados .</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B">
                <w:pPr>
                  <w:widowControl w:val="0"/>
                  <w:spacing w:after="0" w:before="0" w:line="240" w:lineRule="auto"/>
                  <w:ind w:left="0" w:firstLine="0"/>
                  <w:jc w:val="both"/>
                  <w:rPr>
                    <w:rFonts w:ascii="Palatino Linotype" w:cs="Palatino Linotype" w:eastAsia="Palatino Linotype" w:hAnsi="Palatino Linotype"/>
                    <w:sz w:val="20"/>
                    <w:szCs w:val="20"/>
                  </w:rPr>
                </w:pPr>
                <w:r w:rsidDel="00000000" w:rsidR="00000000" w:rsidRPr="00000000">
                  <w:rPr>
                    <w:rtl w:val="0"/>
                  </w:rPr>
                </w:r>
              </w:p>
            </w:tc>
          </w:tr>
          <w:tr>
            <w:trPr>
              <w:cantSplit w:val="0"/>
              <w:trHeight w:val="420"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6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6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constatar la información compartida con otras fuentes.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after="0" w:before="0" w:line="240" w:lineRule="auto"/>
                  <w:ind w:left="0" w:firstLine="0"/>
                  <w:jc w:val="both"/>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73">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7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 información y datos del quehacer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457575" cy="1993900"/>
                      <wp:effectExtent b="0" l="0" r="0" t="0"/>
                      <wp:docPr id="30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3457575" cy="1993900"/>
                              </a:xfrm>
                              <a:prstGeom prst="rect"/>
                              <a:ln/>
                            </pic:spPr>
                          </pic:pic>
                        </a:graphicData>
                      </a:graphic>
                    </wp:inline>
                  </w:drawing>
                </w:r>
                <w:r w:rsidDel="00000000" w:rsidR="00000000" w:rsidRPr="00000000">
                  <w:rPr>
                    <w:rtl w:val="0"/>
                  </w:rPr>
                </w:r>
              </w:p>
            </w:tc>
          </w:tr>
          <w:tr>
            <w:trPr>
              <w:cantSplit w:val="0"/>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7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7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Sujeto Obligado presenta información de fechas recientes.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15735" cy="1650377"/>
                      <wp:effectExtent b="0" l="0" r="0" t="0"/>
                      <wp:docPr id="304"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3115735" cy="1650377"/>
                              </a:xfrm>
                              <a:prstGeom prst="rect"/>
                              <a:ln/>
                            </pic:spPr>
                          </pic:pic>
                        </a:graphicData>
                      </a:graphic>
                    </wp:inline>
                  </w:drawing>
                </w:r>
                <w:r w:rsidDel="00000000" w:rsidR="00000000" w:rsidRPr="00000000">
                  <w:rPr>
                    <w:rtl w:val="0"/>
                  </w:rPr>
                </w:r>
              </w:p>
            </w:tc>
          </w:tr>
          <w:tr>
            <w:trPr>
              <w:cantSplit w:val="0"/>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información de sus contenidos en formato TXT.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28085" cy="796134"/>
                      <wp:effectExtent b="0" l="0" r="0" t="0"/>
                      <wp:docPr id="300"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728085" cy="796134"/>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contador de visitas.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694371" cy="1562735"/>
                      <wp:effectExtent b="0" l="0" r="0" t="0"/>
                      <wp:docPr id="314"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2694371" cy="1562735"/>
                              </a:xfrm>
                              <a:prstGeom prst="rect"/>
                              <a:ln/>
                            </pic:spPr>
                          </pic:pic>
                        </a:graphicData>
                      </a:graphic>
                    </wp:inline>
                  </w:drawing>
                </w:r>
                <w:r w:rsidDel="00000000" w:rsidR="00000000" w:rsidRPr="00000000">
                  <w:rPr>
                    <w:rtl w:val="0"/>
                  </w:rPr>
                </w:r>
              </w:p>
            </w:tc>
          </w:tr>
          <w:tr>
            <w:trPr>
              <w:cantSplit w:val="0"/>
              <w:trHeight w:val="2891.8359375"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p w:rsidR="00000000" w:rsidDel="00000000" w:rsidP="00000000" w:rsidRDefault="00000000" w:rsidRPr="00000000" w14:paraId="0000008C">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E">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Analiza el tráfico web para entender mejor las preferencias y comportamientos de los visitantes.</w:t>
                </w:r>
              </w:p>
              <w:p w:rsidR="00000000" w:rsidDel="00000000" w:rsidP="00000000" w:rsidRDefault="00000000" w:rsidRPr="00000000" w14:paraId="0000008F">
                <w:pPr>
                  <w:spacing w:line="240" w:lineRule="auto"/>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456940" cy="1533713"/>
                      <wp:effectExtent b="0" l="0" r="0" t="0"/>
                      <wp:docPr id="30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3456940" cy="1533713"/>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92">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3">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4">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5">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6">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7">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8">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9">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A">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B">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340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encuesta de satisfacción de la información.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498871" cy="1482572"/>
                      <wp:effectExtent b="0" l="0" r="0" t="0"/>
                      <wp:docPr id="310" name="image11.png"/>
                      <a:graphic>
                        <a:graphicData uri="http://schemas.openxmlformats.org/drawingml/2006/picture">
                          <pic:pic>
                            <pic:nvPicPr>
                              <pic:cNvPr id="0" name="image11.png"/>
                              <pic:cNvPicPr preferRelativeResize="0"/>
                            </pic:nvPicPr>
                            <pic:blipFill>
                              <a:blip r:embed="rId20"/>
                              <a:srcRect b="28624" l="11571" r="0" t="21526"/>
                              <a:stretch>
                                <a:fillRect/>
                              </a:stretch>
                            </pic:blipFill>
                            <pic:spPr>
                              <a:xfrm>
                                <a:off x="0" y="0"/>
                                <a:ext cx="3498871" cy="1482572"/>
                              </a:xfrm>
                              <a:prstGeom prst="rect"/>
                              <a:ln/>
                            </pic:spPr>
                          </pic:pic>
                        </a:graphicData>
                      </a:graphic>
                    </wp:inline>
                  </w:drawing>
                </w:r>
                <w:r w:rsidDel="00000000" w:rsidR="00000000" w:rsidRPr="00000000">
                  <w:rPr>
                    <w:rtl w:val="0"/>
                  </w:rPr>
                </w:r>
              </w:p>
            </w:tc>
          </w:tr>
          <w:tr>
            <w:trPr>
              <w:cantSplit w:val="0"/>
              <w:trHeight w:val="2171.8359375"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conocer el interés de los jóvenes para abordar algún otro tema de su interés.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457575" cy="1917700"/>
                      <wp:effectExtent b="0" l="0" r="0" t="0"/>
                      <wp:docPr id="308"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3457575"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A9">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A">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B">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C">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420" w:hRule="atLeast"/>
              <w:tblHeader w:val="0"/>
            </w:trPr>
            <w:tc>
              <w:tcPr>
                <w:gridSpan w:val="4"/>
                <w:tcBorders>
                  <w:top w:color="000000" w:space="0" w:sz="8" w:val="single"/>
                  <w:left w:color="cccccc"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rHeight w:val="2721.1328125" w:hRule="atLeast"/>
              <w:tblHeader w:val="0"/>
            </w:trPr>
            <w:tc>
              <w:tcPr>
                <w:tcBorders>
                  <w:top w:color="000000" w:space="0" w:sz="8" w:val="single"/>
                  <w:left w:color="cccccc"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B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3">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Promoción de la seguridad y el bienestar de los jóvenes, reducción de riesgos al fomentar la prevención y la toma de decisiones informadas entre los estudiantes.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358272" cy="1320920"/>
                      <wp:effectExtent b="0" l="0" r="0" t="0"/>
                      <wp:docPr id="307"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3358272" cy="132092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cccccc"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blHeader w:val="0"/>
            </w:trPr>
            <w:tc>
              <w:tcPr>
                <w:tcBorders>
                  <w:top w:color="000000" w:space="0" w:sz="8" w:val="single"/>
                  <w:left w:color="cccccc"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B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difundido a través de pláticas a escuelas  y redes sociales.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574290" cy="2691303"/>
                      <wp:effectExtent b="0" l="0" r="0" t="0"/>
                      <wp:docPr id="302"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2574290" cy="2691303"/>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BE">
      <w:pPr>
        <w:jc w:val="both"/>
        <w:rPr>
          <w:rFonts w:ascii="Arial" w:cs="Arial" w:eastAsia="Arial" w:hAnsi="Arial"/>
        </w:rPr>
      </w:pPr>
      <w:bookmarkStart w:colFirst="0" w:colLast="0" w:name="_heading=h.1fob9te" w:id="12"/>
      <w:bookmarkEnd w:id="12"/>
      <w:r w:rsidDel="00000000" w:rsidR="00000000" w:rsidRPr="00000000">
        <w:rPr>
          <w:rtl w:val="0"/>
        </w:rPr>
      </w:r>
    </w:p>
    <w:sectPr>
      <w:headerReference r:id="rId24" w:type="default"/>
      <w:footerReference r:id="rId25"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C0">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01" name="image2.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2.png"/>
                  <pic:cNvPicPr preferRelativeResize="0"/>
                </pic:nvPicPr>
                <pic:blipFill>
                  <a:blip r:embed="rId1"/>
                  <a:srcRect b="25360" l="27474" r="25000" t="5796"/>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-1084897</wp:posOffset>
          </wp:positionH>
          <wp:positionV relativeFrom="paragraph">
            <wp:posOffset>-85724</wp:posOffset>
          </wp:positionV>
          <wp:extent cx="10078403" cy="7696200"/>
          <wp:effectExtent b="0" l="0" r="0" t="0"/>
          <wp:wrapNone/>
          <wp:docPr descr="Imagen que contiene Gráfico de superficie&#10;&#10;Descripción generada automáticamente" id="298" name="image13.png"/>
          <a:graphic>
            <a:graphicData uri="http://schemas.openxmlformats.org/drawingml/2006/picture">
              <pic:pic>
                <pic:nvPicPr>
                  <pic:cNvPr descr="Imagen que contiene Gráfico de superficie&#10;&#10;Descripción generada automáticamente" id="0" name="image13.png"/>
                  <pic:cNvPicPr preferRelativeResize="0"/>
                </pic:nvPicPr>
                <pic:blipFill>
                  <a:blip r:embed="rId2"/>
                  <a:srcRect b="0" l="0" r="0" t="0"/>
                  <a:stretch>
                    <a:fillRect/>
                  </a:stretch>
                </pic:blipFill>
                <pic:spPr>
                  <a:xfrm>
                    <a:off x="0" y="0"/>
                    <a:ext cx="10078403" cy="76962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16.png"/><Relationship Id="rId21" Type="http://schemas.openxmlformats.org/officeDocument/2006/relationships/image" Target="media/image4.png"/><Relationship Id="rId24" Type="http://schemas.openxmlformats.org/officeDocument/2006/relationships/header" Target="header1.xml"/><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7.png"/><Relationship Id="rId8" Type="http://schemas.openxmlformats.org/officeDocument/2006/relationships/hyperlink" Target="https://luvianos.gob.mx/transparencia-proactiva" TargetMode="External"/><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image" Target="media/image9.png"/><Relationship Id="rId12" Type="http://schemas.openxmlformats.org/officeDocument/2006/relationships/image" Target="media/image15.png"/><Relationship Id="rId15" Type="http://schemas.openxmlformats.org/officeDocument/2006/relationships/image" Target="media/image6.png"/><Relationship Id="rId14" Type="http://schemas.openxmlformats.org/officeDocument/2006/relationships/image" Target="media/image10.png"/><Relationship Id="rId17" Type="http://schemas.openxmlformats.org/officeDocument/2006/relationships/image" Target="media/image7.png"/><Relationship Id="rId16" Type="http://schemas.openxmlformats.org/officeDocument/2006/relationships/image" Target="media/image18.png"/><Relationship Id="rId19" Type="http://schemas.openxmlformats.org/officeDocument/2006/relationships/image" Target="media/image3.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2gmKUVOGOpa7aHZF73W1mrcwg==">CgMxLjAaHwoBMBIaChgICVIUChJ0YWJsZS5ucHIzcTR1bzN3a2IyCWguMzBqMHpsbDIOaC4xZGVvaW1jdmZrcGYyDmguYWk2cXgyZ29ueWY5Mg5oLjZnMWtva2J1bmQ3YzIOaC42bHU2NjVwazVlZTEyDmgueXRldTEwZnVwdmJ3Mg5oLnA5YjZxZm9ob295bjIOaC5qczZ2NnBnZThsdzQyDmgud2Fjcjk1Y2liN3hqMg5oLnlzNG90ZGJqMW9wajIOaC5lc2Yxa2tyY29zeDUyDmgueTJmZG5ib2Z0aDI5MgloLjFmb2I5dGU4AHIhMW1wTW1zY3k0cXlqeUc2ZHhvMVl5cGc3NDFMbUxIVWU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